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3" w:hanging="0"/>
        <w:rPr>
          <w:sz w:val="20"/>
          <w:szCs w:val="20"/>
        </w:rPr>
      </w:pPr>
      <w:r>
        <w:rPr>
          <w:b/>
          <w:bCs/>
          <w:sz w:val="20"/>
          <w:szCs w:val="20"/>
        </w:rPr>
        <w:t>УТВЕРЖДЕНО:</w:t>
      </w:r>
    </w:p>
    <w:p>
      <w:pPr>
        <w:pStyle w:val="Normal"/>
        <w:ind w:left="4963" w:hanging="0"/>
        <w:rPr>
          <w:sz w:val="20"/>
          <w:szCs w:val="20"/>
        </w:rPr>
      </w:pPr>
      <w:r>
        <w:rPr>
          <w:sz w:val="20"/>
          <w:szCs w:val="20"/>
        </w:rPr>
        <w:t>протоколом № 2 от 05.06.2024</w:t>
      </w:r>
    </w:p>
    <w:p>
      <w:pPr>
        <w:pStyle w:val="Normal"/>
        <w:ind w:left="4963" w:hanging="0"/>
        <w:rPr>
          <w:sz w:val="20"/>
          <w:szCs w:val="20"/>
        </w:rPr>
      </w:pPr>
      <w:r>
        <w:rPr>
          <w:sz w:val="20"/>
          <w:szCs w:val="20"/>
        </w:rPr>
        <w:t>заседания Комиссии при Комитете но образованию</w:t>
        <w:br/>
        <w:t>по организации отдыха детей и их оздоровления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Информационная памятка для родителей (законных представителей) детей-инвалидов с заболеванием «фенилкетонурия», направляемых на отдых и оздоровление в ДОК «Зеленый огонек».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(в дополнение к Памятке для родителей и сопровождающих лиц)</w:t>
      </w:r>
    </w:p>
    <w:p>
      <w:pPr>
        <w:pStyle w:val="Normal"/>
        <w:jc w:val="both"/>
        <w:rPr>
          <w:color w:val="000000"/>
          <w:sz w:val="8"/>
          <w:szCs w:val="8"/>
          <w:shd w:fill="auto" w:val="clear"/>
        </w:rPr>
      </w:pPr>
      <w:r>
        <w:rPr>
          <w:color w:val="000000"/>
          <w:sz w:val="8"/>
          <w:szCs w:val="8"/>
          <w:shd w:fill="auto" w:val="clear"/>
        </w:rPr>
      </w:r>
    </w:p>
    <w:p>
      <w:pPr>
        <w:pStyle w:val="Normal"/>
        <w:widowControl/>
        <w:tabs>
          <w:tab w:val="clear" w:pos="709"/>
          <w:tab w:val="left" w:pos="83" w:leader="none"/>
        </w:tabs>
        <w:suppressAutoHyphens w:val="true"/>
        <w:bidi w:val="0"/>
        <w:spacing w:before="0" w:after="0"/>
        <w:ind w:left="0" w:right="0" w:firstLine="283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fill="auto" w:val="clear"/>
        </w:rPr>
        <w:t>*Условия для организации целевых заездов в ДОК «Зеленый огонек» детей-инвалидов с заболеванием «фенилкетонурия» с сопровождающими их лицами определены в рамках деятельности Межведомственной комиссии Санкт-Петербурга по организации отдыха и оздоровления детей при участии специалистов Комитета</w:t>
        <w:br/>
        <w:t>по здравоохранению, Комитета по образованию, Управления социального питания, Санкт-Петербургского государственного казенного учреждения здравоохранения «Медико-диагностический генетический центр» (далее - Генетический центр).</w:t>
      </w:r>
    </w:p>
    <w:p>
      <w:pPr>
        <w:pStyle w:val="Normal"/>
        <w:jc w:val="both"/>
        <w:rPr>
          <w:color w:val="000000"/>
          <w:sz w:val="8"/>
          <w:szCs w:val="8"/>
          <w:highlight w:val="none"/>
          <w:shd w:fill="auto" w:val="clear"/>
        </w:rPr>
      </w:pPr>
      <w:r>
        <w:rPr>
          <w:color w:val="000000"/>
          <w:sz w:val="8"/>
          <w:szCs w:val="8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283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fill="auto" w:val="clear"/>
        </w:rPr>
        <w:t>*Дополнительным медицинским документом (к справке по форме 079/у) для приема детей-инвалидов</w:t>
        <w:br/>
        <w:t>с заболеванием «фенилкетонурия» в ДОК «Зеленый огонек» является справка/медицинское заключение врача-генетика (специалиста Генетического центра) с допуском к заезду и рекомендациями на период пребывания ребенка</w:t>
        <w:br/>
        <w:t xml:space="preserve">в организации отдыха </w:t>
      </w:r>
      <w:r>
        <w:rPr>
          <w:i/>
          <w:iCs/>
          <w:color w:val="000000"/>
          <w:sz w:val="22"/>
          <w:szCs w:val="22"/>
          <w:shd w:fill="auto" w:val="clear"/>
        </w:rPr>
        <w:t>(медицинское заключение оформляется на бланке Генетического центра, подписывается врачом, заверяется печатью Генетического центра).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shd w:fill="auto" w:val="clear"/>
        </w:rPr>
        <w:t xml:space="preserve">Внимание! </w:t>
      </w:r>
      <w:r>
        <w:rPr>
          <w:color w:val="000000"/>
          <w:sz w:val="22"/>
          <w:szCs w:val="22"/>
          <w:shd w:fill="auto" w:val="clear"/>
        </w:rPr>
        <w:t>Решение о наличии или отсутствии противопоказаний для возможности пребывания ребенка-инвалида</w:t>
        <w:br/>
        <w:t xml:space="preserve">с заболеванием «фенилкетонурия» в ДОК «Зеленый огонек» принимается  врачом-генетиком (специалистом Генетического центра). </w:t>
      </w:r>
      <w:r>
        <w:rPr>
          <w:i/>
          <w:iCs/>
          <w:color w:val="000000"/>
          <w:sz w:val="22"/>
          <w:szCs w:val="22"/>
          <w:shd w:fill="auto" w:val="clear"/>
        </w:rPr>
        <w:t xml:space="preserve">Хронические заболевания в стадии обострения и в стадии декомпенсации являются противопоказанием для направления (приема) ребенка в организацию отдыха детей и их оздоровления. </w:t>
      </w:r>
    </w:p>
    <w:p>
      <w:pPr>
        <w:pStyle w:val="Normal"/>
        <w:jc w:val="both"/>
        <w:rPr>
          <w:i/>
          <w:i/>
          <w:iCs/>
          <w:color w:val="000000"/>
          <w:sz w:val="8"/>
          <w:szCs w:val="8"/>
          <w:highlight w:val="none"/>
          <w:shd w:fill="auto" w:val="clear"/>
        </w:rPr>
      </w:pPr>
      <w:r>
        <w:rPr>
          <w:i/>
          <w:iCs/>
          <w:color w:val="000000"/>
          <w:sz w:val="8"/>
          <w:szCs w:val="8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40"/>
        <w:jc w:val="both"/>
        <w:rPr>
          <w:sz w:val="22"/>
          <w:szCs w:val="22"/>
        </w:rPr>
      </w:pPr>
      <w:r>
        <w:rPr>
          <w:i/>
          <w:iCs/>
          <w:color w:val="000000"/>
          <w:sz w:val="22"/>
          <w:szCs w:val="22"/>
          <w:shd w:fill="auto" w:val="clear"/>
        </w:rPr>
        <w:t>*</w:t>
      </w:r>
      <w:r>
        <w:rPr>
          <w:color w:val="000000"/>
          <w:sz w:val="22"/>
          <w:szCs w:val="22"/>
          <w:shd w:fill="auto" w:val="clear"/>
        </w:rPr>
        <w:t>Питание детей-инвалидов с заболеванием «фенилкетонурия» на смене в ДОК «Зеленый огонек» организуется</w:t>
        <w:br/>
        <w:t>по меню, разработанному и утвержденному Управлением социального питания и Комитетом по здравоохранению.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shd w:fill="auto" w:val="clear"/>
        </w:rPr>
        <w:t>Внимание!</w:t>
      </w:r>
      <w:r>
        <w:rPr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/>
          <w:color w:val="000000"/>
          <w:sz w:val="22"/>
          <w:szCs w:val="22"/>
          <w:shd w:fill="auto" w:val="clear"/>
        </w:rPr>
        <w:t>Предоставление индивидуального меню (во исполнение пункта 8.2 СанПиН 2.3/2.4.3590-20) возможно только в случае замены в утвержденном меню одного вида пищевой продукции, блюд и кулинарных изделий</w:t>
        <w:br/>
        <w:t xml:space="preserve">на иные виды пищевой продукции, блюд и кулинарных изделий в соответствии с таблицей замены пищевой продукции с учетом ее пищевой ценности </w:t>
      </w:r>
      <w:r>
        <w:rPr>
          <w:rFonts w:cs="Times New Roman"/>
          <w:i/>
          <w:iCs/>
          <w:color w:val="000000"/>
          <w:sz w:val="22"/>
          <w:szCs w:val="22"/>
          <w:shd w:fill="auto" w:val="clear"/>
        </w:rPr>
        <w:t>(должно быть отражено в справке по форме 079/у</w:t>
      </w:r>
      <w:r>
        <w:rPr>
          <w:rFonts w:cs="Times New Roman"/>
          <w:color w:val="000000"/>
          <w:sz w:val="22"/>
          <w:szCs w:val="22"/>
          <w:shd w:fill="auto" w:val="clear"/>
        </w:rPr>
        <w:t>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40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color w:val="000000"/>
          <w:sz w:val="22"/>
          <w:szCs w:val="22"/>
          <w:shd w:fill="auto" w:val="clear"/>
        </w:rPr>
        <w:t>*Индивидуальная корректировка меню для ребенка-инвалида с заболеванием «фенилкетонурия» возможна</w:t>
        <w:br/>
        <w:t>на основании письменного заключения/рекомендаций врача-генетика (специалиста Генетического центра) по итогам скрининговой проверки уровня белка, однократно организованной в ДОК в течение 21-дневной смены.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40"/>
        <w:jc w:val="both"/>
        <w:rPr>
          <w:rFonts w:cs="Times New Roman"/>
          <w:i w:val="false"/>
          <w:i w:val="false"/>
          <w:iCs w:val="false"/>
          <w:color w:val="000000"/>
          <w:sz w:val="8"/>
          <w:szCs w:val="8"/>
          <w:shd w:fill="auto" w:val="clear"/>
        </w:rPr>
      </w:pPr>
      <w:r>
        <w:rPr>
          <w:rFonts w:cs="Times New Roman"/>
          <w:i w:val="false"/>
          <w:iCs w:val="false"/>
          <w:color w:val="000000"/>
          <w:sz w:val="8"/>
          <w:szCs w:val="8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97"/>
        <w:jc w:val="both"/>
        <w:rPr>
          <w:sz w:val="22"/>
          <w:szCs w:val="22"/>
        </w:rPr>
      </w:pPr>
      <w:r>
        <w:rPr>
          <w:rFonts w:cs="Times New Roman"/>
          <w:i w:val="false"/>
          <w:iCs w:val="false"/>
          <w:color w:val="000000"/>
          <w:sz w:val="22"/>
          <w:szCs w:val="22"/>
          <w:shd w:fill="auto" w:val="clear"/>
        </w:rPr>
        <w:t xml:space="preserve">*Информация о скрининговой проверке уровня белка, однократно организованнойв течение 21-дневной смены, будет дополнительно доведена до родителей (законных представителей) детей-инвалидов с заболеванием «фенилкетонурия» врачом-генетиком (специалистом Генетического центра) при  оформлении справки/медицинского заключения с допуском к заезду и рекомендациям и на период пребывания ребенка в организации отдыха, а также через представителя Санкт-Петербургской общественной организации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помощи пациентам с фенилкетонурией</w:t>
      </w:r>
      <w:r>
        <w:rPr>
          <w:rFonts w:cs="Times New Roman"/>
          <w:i w:val="false"/>
          <w:iCs w:val="false"/>
          <w:color w:val="000000"/>
          <w:sz w:val="22"/>
          <w:szCs w:val="22"/>
          <w:shd w:fill="auto" w:val="clear"/>
        </w:rPr>
        <w:t>).</w:t>
      </w:r>
    </w:p>
    <w:p>
      <w:pPr>
        <w:pStyle w:val="Normal"/>
        <w:jc w:val="both"/>
        <w:rPr>
          <w:i w:val="false"/>
          <w:i w:val="false"/>
          <w:iCs w:val="false"/>
          <w:sz w:val="8"/>
          <w:szCs w:val="8"/>
        </w:rPr>
      </w:pPr>
      <w:r>
        <w:rPr>
          <w:i w:val="false"/>
          <w:iCs w:val="false"/>
          <w:sz w:val="8"/>
          <w:szCs w:val="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97"/>
        <w:jc w:val="both"/>
        <w:rPr>
          <w:sz w:val="22"/>
          <w:szCs w:val="22"/>
        </w:rPr>
      </w:pPr>
      <w:r>
        <w:rPr>
          <w:rFonts w:cs="Times New Roman"/>
          <w:i/>
          <w:iCs/>
          <w:color w:val="000000"/>
          <w:sz w:val="22"/>
          <w:szCs w:val="22"/>
          <w:shd w:fill="auto" w:val="clear"/>
        </w:rPr>
        <w:t>*</w:t>
      </w:r>
      <w:r>
        <w:rPr>
          <w:rFonts w:cs="Times New Roman"/>
          <w:color w:val="000000"/>
          <w:sz w:val="22"/>
          <w:szCs w:val="22"/>
          <w:shd w:fill="auto" w:val="clear"/>
        </w:rPr>
        <w:t>Ответственность за обеспечение ребенка-инвалида с заболеванием «фенилкетонурия» на смене дополнительным специализированным питанием (применение специализированных продуктов питания (смесей) возлагается</w:t>
        <w:br/>
        <w:t>на сопровождающее его лицо. В этой связи необходимо учесть следующее: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  <w:shd w:fill="auto" w:val="clear"/>
        </w:rPr>
        <w:tab/>
        <w:t>- сопровождающему лицу перед заездом рекомендуется пройти консультацию в Генетическом центре;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  <w:shd w:fill="auto" w:val="clear"/>
        </w:rPr>
        <w:tab/>
        <w:t>- у сопровождающего лица в наличии должны быть специализированные продукты питания (смеси);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  <w:shd w:fill="auto" w:val="clear"/>
        </w:rPr>
        <w:tab/>
        <w:t>- сопровождающее лицо должно обладать знаниями, необходимыми для организации дополнительного специализированного питания (применение специализированных продуктов питания (смесей).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shd w:fill="auto" w:val="clear"/>
        </w:rPr>
        <w:t xml:space="preserve">Внимание! </w:t>
      </w:r>
      <w:r>
        <w:rPr>
          <w:rFonts w:cs="Times New Roman"/>
          <w:color w:val="000000"/>
          <w:sz w:val="22"/>
          <w:szCs w:val="22"/>
          <w:shd w:fill="auto" w:val="clear"/>
        </w:rPr>
        <w:t>В ДОК созданы условия для хранения специализированных продуктов питания (смесей) и лекарственных препаратов (в каждой жилой комнате установлен холодильник) и для разведения специализированных продуктов питания (смесей).</w:t>
      </w:r>
    </w:p>
    <w:p>
      <w:pPr>
        <w:pStyle w:val="Normal"/>
        <w:jc w:val="both"/>
        <w:rPr>
          <w:rFonts w:cs="Times New Roman"/>
          <w:color w:val="000000"/>
          <w:sz w:val="8"/>
          <w:szCs w:val="8"/>
        </w:rPr>
      </w:pPr>
      <w:r>
        <w:rPr>
          <w:rFonts w:cs="Times New Roman"/>
          <w:color w:val="000000"/>
          <w:sz w:val="8"/>
          <w:szCs w:val="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  <w:shd w:fill="auto" w:val="clear"/>
        </w:rPr>
        <w:t xml:space="preserve">*Со всеми сотрудниками ДОК «Зеленый огонек», включая вожатых, проведены обучающие занятия на тему «Особые потребности детей с заболеванием «фенилкетонурия» (при участии Санкт-Петербургской общественной организации </w:t>
      </w:r>
      <w:r>
        <w:rPr>
          <w:rFonts w:cs="Times New Roman"/>
          <w:b w:val="false"/>
          <w:bCs w:val="false"/>
          <w:color w:val="000000"/>
          <w:sz w:val="22"/>
          <w:szCs w:val="22"/>
          <w:shd w:fill="auto" w:val="clear"/>
        </w:rPr>
        <w:t>помощи пациентам с фенилкетонурией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и специалистов Генетического центра).</w:t>
      </w:r>
    </w:p>
    <w:p>
      <w:pPr>
        <w:pStyle w:val="Normal"/>
        <w:jc w:val="both"/>
        <w:rPr>
          <w:sz w:val="8"/>
          <w:szCs w:val="8"/>
          <w:highlight w:val="none"/>
          <w:shd w:fill="auto" w:val="clear"/>
        </w:rPr>
      </w:pPr>
      <w:r>
        <w:rPr>
          <w:sz w:val="8"/>
          <w:szCs w:val="8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both"/>
        <w:rPr>
          <w:sz w:val="22"/>
          <w:szCs w:val="22"/>
        </w:rPr>
      </w:pPr>
      <w:r>
        <w:rPr>
          <w:sz w:val="22"/>
          <w:szCs w:val="22"/>
          <w:shd w:fill="auto" w:val="clear"/>
        </w:rPr>
        <w:t>*На смене предусмотрено дистанционное сопровождение сотрудников ДОК «Зеленый огонек» врачом- генетиком (специалистом Генетического центра).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  <w:shd w:fill="auto" w:val="clear"/>
        </w:rPr>
        <w:t>*Медицинскими работниками ДОК «Зеленый огонек» медицинская помощь на смене оказывается в соответствии с Порядком оказания медицинской помощи несовершеннолетним в период оздоровления и организованного отдыха, утвержденным приказом Минздрава России от 13.06.2018 № 327н, в виде первичной медико-санитарной</w:t>
        <w:br/>
        <w:t xml:space="preserve">и доврачебной помощи </w:t>
      </w:r>
      <w:r>
        <w:rPr>
          <w:rFonts w:cs="Times New Roman"/>
          <w:i/>
          <w:iCs/>
          <w:color w:val="000000"/>
          <w:sz w:val="22"/>
          <w:szCs w:val="22"/>
          <w:shd w:fill="auto" w:val="clear"/>
        </w:rPr>
        <w:t>(включая обеспечение контроля за соблюдением приема лекарственных препаратов</w:t>
        <w:br/>
        <w:t>для медицинского применения и специализированных продуктов лечебного питания).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both"/>
        <w:rPr>
          <w:rFonts w:cs="Times New Roman"/>
          <w:i/>
          <w:i/>
          <w:iCs/>
          <w:color w:val="000000"/>
          <w:sz w:val="8"/>
          <w:szCs w:val="8"/>
          <w:shd w:fill="auto" w:val="clear"/>
        </w:rPr>
      </w:pPr>
      <w:r>
        <w:rPr>
          <w:rFonts w:cs="Times New Roman"/>
          <w:i/>
          <w:iCs/>
          <w:color w:val="000000"/>
          <w:sz w:val="8"/>
          <w:szCs w:val="8"/>
          <w:shd w:fill="auto" w:val="clear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shd w:fill="auto" w:val="clear"/>
        </w:rPr>
        <w:t xml:space="preserve">Внимание! </w:t>
      </w:r>
      <w:r>
        <w:rPr>
          <w:rFonts w:cs="Times New Roman"/>
          <w:color w:val="000000"/>
          <w:sz w:val="22"/>
          <w:szCs w:val="22"/>
          <w:shd w:fill="auto" w:val="clear"/>
        </w:rPr>
        <w:t>Вся необходимая информации по документам и отправке детей представлена в Памятке для родителей</w:t>
        <w:br/>
        <w:t xml:space="preserve">и сопровождающих лиц </w:t>
      </w:r>
      <w:r>
        <w:rPr>
          <w:rFonts w:cs="Times New Roman"/>
          <w:i/>
          <w:iCs/>
          <w:color w:val="000000"/>
          <w:sz w:val="22"/>
          <w:szCs w:val="22"/>
          <w:shd w:fill="auto" w:val="clear"/>
        </w:rPr>
        <w:t>(предоставляется родителю (законному представителю) при выдаче путевок</w:t>
      </w:r>
      <w:r>
        <w:rPr>
          <w:rFonts w:cs="Times New Roman"/>
          <w:color w:val="000000"/>
          <w:sz w:val="22"/>
          <w:szCs w:val="22"/>
          <w:shd w:fill="auto" w:val="clear"/>
        </w:rPr>
        <w:t>).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shd w:fill="auto" w:val="clear"/>
        </w:rPr>
        <w:t>Контакты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ответственного лица от Санкт-Петербургской общественной организации </w:t>
      </w:r>
      <w:r>
        <w:rPr>
          <w:rFonts w:cs="Times New Roman"/>
          <w:b w:val="false"/>
          <w:bCs w:val="false"/>
          <w:color w:val="000000"/>
          <w:sz w:val="22"/>
          <w:szCs w:val="22"/>
          <w:shd w:fill="auto" w:val="clear"/>
        </w:rPr>
        <w:t>помощи пациентам</w:t>
        <w:br/>
        <w:t>с фенилкетонурией: Яковлева Ольга Владимировна, т. 8-952-227-05-17</w:t>
      </w:r>
      <w:r>
        <w:rPr>
          <w:rFonts w:cs="Times New Roman"/>
          <w:color w:val="000000"/>
          <w:sz w:val="22"/>
          <w:szCs w:val="22"/>
          <w:shd w:fill="auto" w:val="clear"/>
        </w:rPr>
        <w:t xml:space="preserve"> </w:t>
      </w:r>
    </w:p>
    <w:sectPr>
      <w:type w:val="nextPage"/>
      <w:pgSz w:w="11906" w:h="16838"/>
      <w:pgMar w:left="350" w:right="406" w:gutter="0" w:header="0" w:top="483" w:footer="0" w:bottom="28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Hyperlink"/>
    <w:basedOn w:val="DefaultParagraphFont"/>
    <w:rPr>
      <w:color w:val="0563C1"/>
      <w:u w:val="single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FootnoteTextChar" w:customStyle="1">
    <w:name w:val="Footnote Text Char"/>
    <w:qFormat/>
    <w:rPr>
      <w:sz w:val="18"/>
    </w:rPr>
  </w:style>
  <w:style w:type="character" w:styleId="CaptionChar" w:customStyle="1">
    <w:name w:val="Caption Char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basedOn w:val="DefaultParagraphFont"/>
    <w:qFormat/>
    <w:rPr>
      <w:sz w:val="24"/>
      <w:szCs w:val="24"/>
    </w:rPr>
  </w:style>
  <w:style w:type="character" w:styleId="TitleChar" w:customStyle="1">
    <w:name w:val="Title Char"/>
    <w:basedOn w:val="DefaultParagraphFont"/>
    <w:qFormat/>
    <w:rPr>
      <w:sz w:val="48"/>
      <w:szCs w:val="48"/>
    </w:rPr>
  </w:style>
  <w:style w:type="character" w:styleId="Heading9Char" w:customStyle="1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paragraph" w:styleId="Style8" w:customStyle="1">
    <w:name w:val="Заголовок"/>
    <w:basedOn w:val="Normal"/>
    <w:next w:val="Style9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/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Style8"/>
    <w:qFormat/>
    <w:pPr>
      <w:suppressLineNumbers/>
    </w:pPr>
    <w:rPr>
      <w:b/>
      <w:bCs/>
      <w:sz w:val="32"/>
      <w:szCs w:val="32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qFormat/>
    <w:pPr/>
    <w:rPr/>
  </w:style>
  <w:style w:type="paragraph" w:styleId="Style13">
    <w:name w:val="Index Heading"/>
    <w:basedOn w:val="Style8"/>
    <w:pPr/>
    <w:rPr/>
  </w:style>
  <w:style w:type="paragraph" w:styleId="Style14">
    <w:name w:val="TOC Heading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91">
    <w:name w:val="TOC 9"/>
    <w:basedOn w:val="Normal"/>
    <w:pPr>
      <w:spacing w:before="0" w:after="57"/>
      <w:ind w:left="2268" w:hanging="0"/>
    </w:pPr>
    <w:rPr/>
  </w:style>
  <w:style w:type="paragraph" w:styleId="81">
    <w:name w:val="TOC 8"/>
    <w:basedOn w:val="Normal"/>
    <w:pPr>
      <w:spacing w:before="0" w:after="57"/>
      <w:ind w:left="1984" w:hanging="0"/>
    </w:pPr>
    <w:rPr/>
  </w:style>
  <w:style w:type="paragraph" w:styleId="71">
    <w:name w:val="TOC 7"/>
    <w:basedOn w:val="Normal"/>
    <w:pPr>
      <w:spacing w:before="0" w:after="57"/>
      <w:ind w:left="1701" w:hanging="0"/>
    </w:pPr>
    <w:rPr/>
  </w:style>
  <w:style w:type="paragraph" w:styleId="61">
    <w:name w:val="TOC 6"/>
    <w:basedOn w:val="Normal"/>
    <w:pPr>
      <w:spacing w:before="0" w:after="57"/>
      <w:ind w:left="1417" w:hanging="0"/>
    </w:pPr>
    <w:rPr/>
  </w:style>
  <w:style w:type="paragraph" w:styleId="51">
    <w:name w:val="TOC 5"/>
    <w:basedOn w:val="Normal"/>
    <w:pPr>
      <w:spacing w:before="0" w:after="57"/>
      <w:ind w:left="1134" w:hanging="0"/>
    </w:pPr>
    <w:rPr/>
  </w:style>
  <w:style w:type="paragraph" w:styleId="41">
    <w:name w:val="TOC 4"/>
    <w:basedOn w:val="Normal"/>
    <w:pPr>
      <w:spacing w:before="0" w:after="57"/>
      <w:ind w:left="850" w:hanging="0"/>
    </w:pPr>
    <w:rPr/>
  </w:style>
  <w:style w:type="paragraph" w:styleId="31">
    <w:name w:val="TOC 3"/>
    <w:basedOn w:val="Normal"/>
    <w:pPr>
      <w:spacing w:before="0" w:after="57"/>
      <w:ind w:left="567" w:hanging="0"/>
    </w:pPr>
    <w:rPr/>
  </w:style>
  <w:style w:type="paragraph" w:styleId="21">
    <w:name w:val="TOC 2"/>
    <w:basedOn w:val="Normal"/>
    <w:pPr>
      <w:spacing w:before="0" w:after="57"/>
      <w:ind w:left="283" w:hanging="0"/>
    </w:pPr>
    <w:rPr/>
  </w:style>
  <w:style w:type="paragraph" w:styleId="11">
    <w:name w:val="TOC 1"/>
    <w:basedOn w:val="Normal"/>
    <w:pPr>
      <w:spacing w:before="0" w:after="57"/>
    </w:pPr>
    <w:rPr/>
  </w:style>
  <w:style w:type="paragraph" w:styleId="Style15">
    <w:name w:val="Endnote Text"/>
    <w:basedOn w:val="Normal"/>
    <w:pPr/>
    <w:rPr>
      <w:sz w:val="20"/>
    </w:rPr>
  </w:style>
  <w:style w:type="paragraph" w:styleId="Style16">
    <w:name w:val="Footnote Text"/>
    <w:basedOn w:val="Normal"/>
    <w:pPr>
      <w:spacing w:before="0" w:after="40"/>
    </w:pPr>
    <w:rPr>
      <w:sz w:val="18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8">
    <w:name w:val="Footer"/>
    <w:basedOn w:val="Normal"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Style19">
    <w:name w:val="Header"/>
    <w:basedOn w:val="Normal"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Style20">
    <w:name w:val="Subtitle"/>
    <w:basedOn w:val="Normal"/>
    <w:qFormat/>
    <w:pPr>
      <w:spacing w:before="200" w:after="200"/>
    </w:pPr>
    <w:rPr/>
  </w:style>
  <w:style w:type="paragraph" w:styleId="Style21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LibreOffice/7.4.0.3$Linux_X86_64 LibreOffice_project/f85e47c08ddd19c015c0114a68350214f7066f5a</Application>
  <AppVersion>15.0000</AppVersion>
  <Pages>1</Pages>
  <Words>598</Words>
  <Characters>4700</Characters>
  <CharactersWithSpaces>5283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2023-06-07T08:26:00Z</dcterms:created>
  <dc:creator>МА. Баращихина</dc:creator>
  <dc:description/>
  <dc:language>ru-RU</dc:language>
  <cp:lastModifiedBy/>
  <cp:lastPrinted>2024-06-06T12:38:34Z</cp:lastPrinted>
  <dcterms:modified xsi:type="dcterms:W3CDTF">2024-06-06T12:39:59Z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